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2" w14:textId="77777777" w:rsidR="00812681" w:rsidRDefault="002916E5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Hypotéka před svatbou, nebo až po ní? Rozhodnutí, které může ušetřit starosti i statisíce</w:t>
      </w:r>
    </w:p>
    <w:p w14:paraId="00000003" w14:textId="73A847D5" w:rsidR="00812681" w:rsidRDefault="002916E5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br/>
      </w:r>
      <w:r>
        <w:rPr>
          <w:b/>
          <w:bCs/>
        </w:rPr>
        <w:t xml:space="preserve">Praha, </w:t>
      </w:r>
      <w:r w:rsidR="00503D92">
        <w:rPr>
          <w:b/>
          <w:bCs/>
        </w:rPr>
        <w:t>14</w:t>
      </w:r>
      <w:r>
        <w:rPr>
          <w:b/>
          <w:bCs/>
        </w:rPr>
        <w:t>.</w:t>
      </w:r>
      <w:r w:rsidR="00503D92">
        <w:rPr>
          <w:b/>
          <w:bCs/>
        </w:rPr>
        <w:t xml:space="preserve"> října</w:t>
      </w:r>
      <w:r>
        <w:rPr>
          <w:b/>
          <w:bCs/>
        </w:rPr>
        <w:t xml:space="preserve"> 2026</w:t>
      </w:r>
      <w:r w:rsidR="0026133D">
        <w:rPr>
          <w:b/>
          <w:bCs/>
        </w:rPr>
        <w:t xml:space="preserve"> -</w:t>
      </w:r>
      <w:r>
        <w:rPr>
          <w:b/>
          <w:bCs/>
        </w:rPr>
        <w:t xml:space="preserve"> Zásnuby a plánování svatby často znamenají také hledání společného bydlení. Málokdo si ale uvědomuje, že načasování žádosti o hypotéku – tedy zda před svatbou, nebo až po ní – může zásadně ovlivnit nejen schválení úvěru, ale také budoucí majetkové vztahy, kdyby společný život „ztroskotal“. Podle hypotečních specialistů se proto vyplatí promyslet nejen výběr nemovitosti, ale i správný postup při financování.</w:t>
      </w:r>
    </w:p>
    <w:p w14:paraId="00000004" w14:textId="77777777" w:rsidR="00812681" w:rsidRDefault="002916E5">
      <w:r>
        <w:rPr>
          <w:i/>
          <w:iCs/>
        </w:rPr>
        <w:t>„Mnoho párů řeší především výši úrokové sazby nebo to, zda na hypotéku vůbec dosáhnou. Stejně důležité je ale zamyslet se nad tím, kdo bude žadatelem a v jaké životní situaci se o úvěr žádá. Rozhodnutí, zda hypotéku sjednat před svatbou, nebo až po ní, může mít dlouhodobé právní i finanční dopady,“</w:t>
      </w:r>
      <w:r>
        <w:t xml:space="preserve"> říká </w:t>
      </w:r>
      <w:r>
        <w:rPr>
          <w:b/>
          <w:bCs/>
        </w:rPr>
        <w:t>Jana Vaisová, hypoteční specialistka FinGO</w:t>
      </w:r>
      <w:r>
        <w:t>.</w:t>
      </w:r>
    </w:p>
    <w:p w14:paraId="00000005" w14:textId="77777777" w:rsidR="00812681" w:rsidRDefault="002916E5">
      <w:pPr>
        <w:rPr>
          <w:b/>
          <w:bCs/>
        </w:rPr>
      </w:pPr>
      <w:r>
        <w:rPr>
          <w:b/>
          <w:bCs/>
        </w:rPr>
        <w:t>Nejde jen o úrokovou sazbu</w:t>
      </w:r>
    </w:p>
    <w:p w14:paraId="00000006" w14:textId="77777777" w:rsidR="00812681" w:rsidRDefault="002916E5">
      <w:r>
        <w:t>Hypotéka je závazek na desítky let. Proto by její nastavení mělo odpovídat nejen současné finanční situaci, ale i tomu, co může přijít za několik let. Dobře zvolená strategie dokáže předejít řadě zbytečných komplikací i vysokým nákladům. Důležitou součástí finančního plánu by mělo být také odpovídající životní pojištění, které pomůže zvládnout výpadek příjmu v případě dlouhodobé nemoci, invalidity nebo úmrtí jednoho z partnerů.</w:t>
      </w:r>
    </w:p>
    <w:p w14:paraId="00000007" w14:textId="77777777" w:rsidR="00812681" w:rsidRDefault="002916E5">
      <w:pPr>
        <w:rPr>
          <w:b/>
          <w:bCs/>
        </w:rPr>
      </w:pPr>
      <w:r>
        <w:rPr>
          <w:b/>
          <w:bCs/>
        </w:rPr>
        <w:t>Hypotéka před svatbou nabízí větší flexibilitu</w:t>
      </w:r>
    </w:p>
    <w:p w14:paraId="00000008" w14:textId="2E292DC4" w:rsidR="00812681" w:rsidRDefault="002916E5">
      <w:r>
        <w:t>Pokud si partneři pořídí nemovitost ještě před uzavřením manželství</w:t>
      </w:r>
      <w:r w:rsidR="00503D47">
        <w:t>/partnerství</w:t>
      </w:r>
      <w:r>
        <w:t>, mají větší volnost při nastavení vlastnictví i samotného úvěru. O hypotéku může požádat pouze jeden z partnerů, nebo oba společně. Varianta s jedním žadatelem bývá výhodná například tehdy, když druhý partner splácí jiné úvěry, platí alimenty nebo má horší úvěrovou historii. Banka posuzuje pouze příjmy a závazky jednoho žadatele, takže případné problémy se splácením neovlivní bonitu druhého partnera.</w:t>
      </w:r>
    </w:p>
    <w:p w14:paraId="00000009" w14:textId="31D5E9D7" w:rsidR="00812681" w:rsidRDefault="002916E5">
      <w:r>
        <w:t>Co se s takovou hypotékou stane po svatbě? Nic zvláštního, splácet dál bude jen jeden z</w:t>
      </w:r>
      <w:r w:rsidR="00503D47">
        <w:t> </w:t>
      </w:r>
      <w:r>
        <w:t>manželů</w:t>
      </w:r>
      <w:r w:rsidR="00503D47">
        <w:t>/partnerů</w:t>
      </w:r>
      <w:r>
        <w:t>. Na konci fixace při refinancování hypotéky nebo za administrativní poplatek i v průběhu splácení může ke smlouvě přistoupit i druhý partner.</w:t>
      </w:r>
    </w:p>
    <w:p w14:paraId="0000000A" w14:textId="77777777" w:rsidR="00812681" w:rsidRDefault="002916E5">
      <w:pPr>
        <w:rPr>
          <w:b/>
          <w:bCs/>
        </w:rPr>
      </w:pPr>
      <w:r>
        <w:rPr>
          <w:b/>
          <w:bCs/>
        </w:rPr>
        <w:t>Hypotéka pro pár</w:t>
      </w:r>
    </w:p>
    <w:p w14:paraId="0000000B" w14:textId="4D755F12" w:rsidR="00812681" w:rsidRDefault="002916E5">
      <w:pPr>
        <w:rPr>
          <w:b/>
          <w:bCs/>
          <w:i/>
          <w:iCs/>
        </w:rPr>
      </w:pPr>
      <w:r>
        <w:t xml:space="preserve">Pokud chcete ještě před svatbou požádat o hypotéku v páru, není to problém. Naopak společná žádost umožní započítat příjmy obou partnerů, což může výrazně zvýšit šanci na získání vyšší hypotéky. Nevýhodou je, že banka současně hodnotí i závazky obou žadatelů. </w:t>
      </w:r>
      <w:r>
        <w:br/>
      </w:r>
      <w:r>
        <w:rPr>
          <w:i/>
          <w:iCs/>
        </w:rPr>
        <w:t xml:space="preserve">„Společná hypotéka pomůže tehdy, když pár potřebuje vyšší úvěr a oba mají stabilní příjmy i zdravou finanční historii. </w:t>
      </w:r>
      <w:r>
        <w:t>O hypotéku dokonce mohou společně žádat </w:t>
      </w:r>
      <w:r>
        <w:rPr>
          <w:i/>
          <w:iCs/>
        </w:rPr>
        <w:t xml:space="preserve">až čtyři osoby ze dvou </w:t>
      </w:r>
      <w:r>
        <w:rPr>
          <w:i/>
          <w:iCs/>
        </w:rPr>
        <w:lastRenderedPageBreak/>
        <w:t>domácností. Klasicky se k takovému kroku přistupuje kvůli navýšení</w:t>
      </w:r>
      <w:r w:rsidR="00503D47">
        <w:rPr>
          <w:i/>
          <w:iCs/>
        </w:rPr>
        <w:t xml:space="preserve"> bonity: do p</w:t>
      </w:r>
      <w:r>
        <w:rPr>
          <w:i/>
          <w:iCs/>
        </w:rPr>
        <w:t>říjmů se započítají veškeré příjmy všech žádajících osob,“</w:t>
      </w:r>
      <w:r>
        <w:rPr>
          <w:b/>
          <w:bCs/>
          <w:i/>
          <w:iCs/>
        </w:rPr>
        <w:t xml:space="preserve"> </w:t>
      </w:r>
      <w:r>
        <w:t>vysvětluje Jana Vaisová.</w:t>
      </w:r>
    </w:p>
    <w:p w14:paraId="0000000C" w14:textId="6089246E" w:rsidR="00812681" w:rsidRDefault="002916E5">
      <w:pPr>
        <w:rPr>
          <w:b/>
          <w:bCs/>
        </w:rPr>
      </w:pPr>
      <w:r>
        <w:rPr>
          <w:b/>
          <w:bCs/>
        </w:rPr>
        <w:t xml:space="preserve">Po svatbě </w:t>
      </w:r>
      <w:r w:rsidR="00BF5ADC">
        <w:rPr>
          <w:b/>
          <w:bCs/>
        </w:rPr>
        <w:t xml:space="preserve">nebo registraci partnerství </w:t>
      </w:r>
      <w:r>
        <w:rPr>
          <w:b/>
          <w:bCs/>
        </w:rPr>
        <w:t xml:space="preserve">rozhoduje společné jmění </w:t>
      </w:r>
    </w:p>
    <w:p w14:paraId="0000000D" w14:textId="309148CE" w:rsidR="00812681" w:rsidRPr="00503D47" w:rsidRDefault="002916E5" w:rsidP="00503D4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left"/>
        <w:rPr>
          <w:rFonts w:ascii="Arial" w:eastAsia="Arial" w:hAnsi="Arial" w:cs="Arial"/>
          <w:color w:val="000000"/>
        </w:rPr>
      </w:pPr>
      <w:r>
        <w:t xml:space="preserve">Po uzavření manželství </w:t>
      </w:r>
      <w:r w:rsidR="00503D47">
        <w:t xml:space="preserve">nebo stejnopohlavního partnerství </w:t>
      </w:r>
      <w:r>
        <w:t xml:space="preserve">se situace mění. </w:t>
      </w:r>
      <w:r w:rsidR="00503D47" w:rsidRPr="00BF5ADC">
        <w:rPr>
          <w:i/>
          <w:iCs/>
        </w:rPr>
        <w:t>(</w:t>
      </w:r>
      <w:r w:rsidR="00503D47" w:rsidRPr="00BF5ADC">
        <w:rPr>
          <w:rFonts w:ascii="Arial" w:eastAsia="Arial" w:hAnsi="Arial" w:cs="Arial"/>
          <w:i/>
          <w:iCs/>
          <w:color w:val="000000"/>
        </w:rPr>
        <w:t xml:space="preserve">Změna Občanského zákoníku ustanovením § 655 odst. 2 totiž zavedla od 1. ledna 2025 institut tzv. </w:t>
      </w:r>
      <w:r w:rsidR="00BF5ADC" w:rsidRPr="00BF5ADC">
        <w:rPr>
          <w:rFonts w:ascii="Arial" w:eastAsia="Arial" w:hAnsi="Arial" w:cs="Arial"/>
          <w:i/>
          <w:iCs/>
          <w:color w:val="000000"/>
        </w:rPr>
        <w:t>P</w:t>
      </w:r>
      <w:r w:rsidR="00503D47" w:rsidRPr="00BF5ADC">
        <w:rPr>
          <w:rFonts w:ascii="Arial" w:eastAsia="Arial" w:hAnsi="Arial" w:cs="Arial"/>
          <w:i/>
          <w:iCs/>
          <w:color w:val="000000"/>
        </w:rPr>
        <w:t>artnerství</w:t>
      </w:r>
      <w:r w:rsidR="00BF5ADC" w:rsidRPr="00BF5ADC">
        <w:rPr>
          <w:rFonts w:ascii="Arial" w:eastAsia="Arial" w:hAnsi="Arial" w:cs="Arial"/>
          <w:i/>
          <w:iCs/>
          <w:color w:val="000000"/>
        </w:rPr>
        <w:t>.)</w:t>
      </w:r>
      <w:r w:rsidR="00503D47">
        <w:rPr>
          <w:rFonts w:ascii="Arial" w:eastAsia="Arial" w:hAnsi="Arial" w:cs="Arial"/>
          <w:color w:val="000000"/>
        </w:rPr>
        <w:t xml:space="preserve"> </w:t>
      </w:r>
      <w:r>
        <w:t xml:space="preserve">Pokud si </w:t>
      </w:r>
      <w:r w:rsidR="00503D47">
        <w:t xml:space="preserve">tedy </w:t>
      </w:r>
      <w:r>
        <w:t xml:space="preserve">manželé </w:t>
      </w:r>
      <w:r w:rsidR="00503D47">
        <w:t xml:space="preserve">nebo partneři </w:t>
      </w:r>
      <w:r>
        <w:t>předem neupraví společné jmění (SJ), banka bude standardně požadovat, aby do žádosti vstoupili oba. Výjimkou je pouze situace, kdy si manželé</w:t>
      </w:r>
      <w:r w:rsidR="00BF5ADC">
        <w:t>/partneři</w:t>
      </w:r>
      <w:r>
        <w:t xml:space="preserve"> </w:t>
      </w:r>
      <w:r w:rsidR="00503D47">
        <w:t>společné jmění n</w:t>
      </w:r>
      <w:r>
        <w:t xml:space="preserve">otářským zápisem zúží. Při zúženém SJ se dohodnou, že určitý majetek nebo závazky nebudou součástí společného jmění. Pak může být hypotéka vedena pouze na jednoho z nich. Tento krok se využívá například v případech, kdy jeden z partnerů podniká, má záznam v registru dlužníků nebo jeho příjmy nejsou pro banku dostatečně průkazné. </w:t>
      </w:r>
      <w:r w:rsidR="00BF5ADC">
        <w:br/>
      </w:r>
    </w:p>
    <w:p w14:paraId="0000000E" w14:textId="4514A397" w:rsidR="00812681" w:rsidRDefault="002916E5">
      <w:r>
        <w:rPr>
          <w:i/>
          <w:iCs/>
        </w:rPr>
        <w:t xml:space="preserve">„Řada lidí ani netuší, že po svatbě </w:t>
      </w:r>
      <w:r w:rsidR="00BF5ADC">
        <w:rPr>
          <w:i/>
          <w:iCs/>
        </w:rPr>
        <w:t xml:space="preserve">nebo uzavření partnerství </w:t>
      </w:r>
      <w:r>
        <w:rPr>
          <w:i/>
          <w:iCs/>
        </w:rPr>
        <w:t>už není možné jednoduše požádat o hypotéku jen na jednoho z</w:t>
      </w:r>
      <w:r w:rsidR="00503D47">
        <w:rPr>
          <w:i/>
          <w:iCs/>
        </w:rPr>
        <w:t> </w:t>
      </w:r>
      <w:r>
        <w:rPr>
          <w:i/>
          <w:iCs/>
        </w:rPr>
        <w:t>manželů</w:t>
      </w:r>
      <w:r w:rsidR="00503D47">
        <w:rPr>
          <w:i/>
          <w:iCs/>
        </w:rPr>
        <w:t>/partnerů</w:t>
      </w:r>
      <w:r>
        <w:rPr>
          <w:i/>
          <w:iCs/>
        </w:rPr>
        <w:t>. Pokud chtějí tuto možnost zachovat, je potřeba společné jmění u notáře zúžit, proto se v některých případech vyplatí řešit financování ještě před svatbou</w:t>
      </w:r>
      <w:r w:rsidR="00503D47">
        <w:rPr>
          <w:i/>
          <w:iCs/>
        </w:rPr>
        <w:t xml:space="preserve"> nebo uzavřením partnerství</w:t>
      </w:r>
      <w:r>
        <w:rPr>
          <w:i/>
          <w:iCs/>
        </w:rPr>
        <w:t>,“</w:t>
      </w:r>
      <w:r>
        <w:t xml:space="preserve"> doplňuje Jana Vaisová.</w:t>
      </w:r>
    </w:p>
    <w:p w14:paraId="0000000F" w14:textId="77777777" w:rsidR="00812681" w:rsidRDefault="002916E5">
      <w:r>
        <w:rPr>
          <w:b/>
          <w:bCs/>
        </w:rPr>
        <w:t>Rozvod hypotéku automaticky neruší</w:t>
      </w:r>
    </w:p>
    <w:p w14:paraId="00000010" w14:textId="77777777" w:rsidR="00812681" w:rsidRDefault="002916E5">
      <w:r>
        <w:t>Jedním z nejčastějších omylů je představa, že rozvod automaticky ukončí společné závazky vůči bance. Ve skutečnosti pro banku rozvod nic nemění – oba bývalí manželé zůstávají spoludlužníky až do okamžiku, kdy banka schválí jiný způsob vypořádání.</w:t>
      </w:r>
    </w:p>
    <w:p w14:paraId="00000011" w14:textId="77777777" w:rsidR="00812681" w:rsidRDefault="002916E5">
      <w:r>
        <w:t>Možností bývá několik. Jeden z partnerů může druhého vyplatit a převzít hypotéku na sebe, pokud prokáže dostatečné příjmy. Další variantou je prodej nemovitosti a splacení úvěru z kupní ceny. Nejrizikovější cestou je pokračovat ve společném splácení i po rozvodu, protože pokud jeden dlužník přestane splácet, banka bude celou částku vymáhat po tom druhém.</w:t>
      </w:r>
    </w:p>
    <w:p w14:paraId="00000028" w14:textId="17AC8552" w:rsidR="00812681" w:rsidRPr="0090495A" w:rsidRDefault="002916E5" w:rsidP="0090495A">
      <w:r>
        <w:rPr>
          <w:i/>
          <w:iCs/>
        </w:rPr>
        <w:t>„Bývalí manželé</w:t>
      </w:r>
      <w:r w:rsidR="00BF5ADC">
        <w:rPr>
          <w:i/>
          <w:iCs/>
        </w:rPr>
        <w:t xml:space="preserve"> či registrovaní partneři</w:t>
      </w:r>
      <w:r>
        <w:rPr>
          <w:i/>
          <w:iCs/>
        </w:rPr>
        <w:t xml:space="preserve"> obvykle po rozvodu</w:t>
      </w:r>
      <w:r w:rsidR="00BF5ADC">
        <w:rPr>
          <w:i/>
          <w:iCs/>
        </w:rPr>
        <w:t>/rozchodu</w:t>
      </w:r>
      <w:r>
        <w:rPr>
          <w:i/>
          <w:iCs/>
        </w:rPr>
        <w:t xml:space="preserve"> řeší majetkové vypořádání hlavně mezi sebou, ale zapomínají na to, že rozhodující slovo má banka. Jakákoli změna dlužníků nebo převzetí hypotéky jen jedním z partnerů totiž podléhá jejímu schválení. Vyplatí se proto začít jednat s bankou co nejdříve a hledat řešení ještě před případným vznikem problémů se splácením,“</w:t>
      </w:r>
      <w:r>
        <w:t xml:space="preserve"> uzavírá Jana Vaisová.</w:t>
      </w:r>
    </w:p>
    <w:p w14:paraId="00000029" w14:textId="77777777" w:rsidR="00812681" w:rsidRDefault="002916E5">
      <w:pPr>
        <w:spacing w:line="276" w:lineRule="auto"/>
      </w:pPr>
      <w:r>
        <w:rPr>
          <w:b/>
          <w:bCs/>
          <w:i/>
          <w:iCs/>
          <w:sz w:val="20"/>
          <w:szCs w:val="20"/>
        </w:rPr>
        <w:t>O společnosti FinGO:</w:t>
      </w:r>
    </w:p>
    <w:p w14:paraId="0000002A" w14:textId="77777777" w:rsidR="00812681" w:rsidRDefault="002916E5">
      <w:pPr>
        <w:spacing w:line="276" w:lineRule="auto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Digitální finančně-poradenská společnost FinGO.cz začala v České republice působit v roce 2021 s cílem přinést makléřům i klientům pohodlí, férovost a díky digitálním technologiím také příležitost, jak oslovit nové klienty. V současnosti má společnost přes 680 vázaných zástupců, kteří působí po celé České republice. Za dobu svého působení se řadí mezi nejrychleji rostoucí finančně poradenské společnosti v ČR. Významný podíl produkce FinGO.cz pochází z online příležitostí, které společnost sama vytváří pro své vázané zástupce.</w:t>
      </w:r>
    </w:p>
    <w:p w14:paraId="0000002B" w14:textId="77777777" w:rsidR="00812681" w:rsidRDefault="002916E5">
      <w:pPr>
        <w:spacing w:line="276" w:lineRule="auto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lastRenderedPageBreak/>
        <w:t>Společnost FinGO je součástí lokální investiční skupiny InTeFi Capital podnikatele a investora Lukáše Nováka. Skupina vlastní a řídí české a slovenské společnosti z oblastí informačních technologií, financí, energetiky a real estate developmentu. Je majoritním vlastníkem energetické skupiny Electree nebo technologické společnosti BiQ Group, která vytváří komplexní a udržitelné IT projekty pro řadu významných společností na Českém a evropském trhu. Sesterská společnost FinGO.sk byla založena v roce 2017 a stala se jednou z nejrychleji rostoucích společností ve svém oboru na Slovensku. Více než 1 000 odborníků působí ve všech 79 okresech Slovenska a stará se o téměř 150 000 spokojených klientů.</w:t>
      </w:r>
    </w:p>
    <w:p w14:paraId="0000002C" w14:textId="77777777" w:rsidR="00812681" w:rsidRDefault="00812681">
      <w:pPr>
        <w:spacing w:line="276" w:lineRule="auto"/>
        <w:rPr>
          <w:i/>
          <w:iCs/>
          <w:sz w:val="20"/>
          <w:szCs w:val="20"/>
        </w:rPr>
      </w:pPr>
    </w:p>
    <w:p w14:paraId="0000002D" w14:textId="77777777" w:rsidR="00812681" w:rsidRDefault="002916E5">
      <w:pPr>
        <w:spacing w:after="0"/>
        <w:rPr>
          <w:b/>
          <w:bCs/>
        </w:rPr>
      </w:pPr>
      <w:r>
        <w:rPr>
          <w:b/>
          <w:bCs/>
        </w:rPr>
        <w:t>Kontakt pro média:</w:t>
      </w:r>
    </w:p>
    <w:p w14:paraId="0000002E" w14:textId="77777777" w:rsidR="00812681" w:rsidRDefault="002916E5">
      <w:pPr>
        <w:spacing w:after="0"/>
      </w:pPr>
      <w:r>
        <w:t>Crest Communications</w:t>
      </w:r>
    </w:p>
    <w:p w14:paraId="0000002F" w14:textId="77777777" w:rsidR="00812681" w:rsidRDefault="002916E5">
      <w:pPr>
        <w:spacing w:after="0"/>
      </w:pPr>
      <w:r>
        <w:t>Bára Wendlová</w:t>
      </w:r>
    </w:p>
    <w:p w14:paraId="00000030" w14:textId="77777777" w:rsidR="00812681" w:rsidRDefault="002916E5">
      <w:pPr>
        <w:spacing w:after="0"/>
        <w:rPr>
          <w:rFonts w:ascii="Aptos" w:eastAsia="Aptos" w:hAnsi="Aptos" w:cs="Aptos"/>
          <w:sz w:val="24"/>
          <w:szCs w:val="24"/>
        </w:rPr>
      </w:pPr>
      <w:hyperlink r:id="rId7">
        <w:r>
          <w:rPr>
            <w:color w:val="0000FF"/>
            <w:u w:val="single"/>
          </w:rPr>
          <w:t>bara.wendlova@crestcom.cz</w:t>
        </w:r>
      </w:hyperlink>
      <w:r>
        <w:br/>
        <w:t>tel.: 737 080 665</w:t>
      </w:r>
    </w:p>
    <w:p w14:paraId="00000031" w14:textId="77777777" w:rsidR="00812681" w:rsidRDefault="002916E5">
      <w:pPr>
        <w:jc w:val="right"/>
        <w:rPr>
          <w:rFonts w:ascii="Aptos" w:eastAsia="Aptos" w:hAnsi="Aptos" w:cs="Aptos"/>
          <w:sz w:val="24"/>
          <w:szCs w:val="24"/>
        </w:rPr>
      </w:pPr>
      <w:r>
        <w:br/>
        <w:t xml:space="preserve">    </w:t>
      </w:r>
    </w:p>
    <w:p w14:paraId="4232820C" w14:textId="77777777" w:rsidR="00B775CC" w:rsidRDefault="00B775CC" w:rsidP="00B775CC">
      <w:pPr>
        <w:spacing w:line="276" w:lineRule="auto"/>
        <w:rPr>
          <w:b/>
          <w:bCs/>
        </w:rPr>
      </w:pPr>
    </w:p>
    <w:p w14:paraId="26B3DB54" w14:textId="77777777" w:rsidR="00B775CC" w:rsidRPr="0082022F" w:rsidRDefault="00B775CC" w:rsidP="00B775CC">
      <w:pPr>
        <w:spacing w:line="276" w:lineRule="auto"/>
        <w:rPr>
          <w:b/>
          <w:bCs/>
          <w:lang w:val="cs-CZ"/>
        </w:rPr>
      </w:pPr>
      <w:r w:rsidRPr="0082022F">
        <w:rPr>
          <w:b/>
          <w:bCs/>
          <w:noProof/>
          <w:lang w:val="cs-CZ"/>
        </w:rPr>
        <w:drawing>
          <wp:anchor distT="0" distB="0" distL="114300" distR="114300" simplePos="0" relativeHeight="251663360" behindDoc="0" locked="0" layoutInCell="1" allowOverlap="1" wp14:anchorId="4AC15906" wp14:editId="7681176A">
            <wp:simplePos x="0" y="0"/>
            <wp:positionH relativeFrom="column">
              <wp:posOffset>5159375</wp:posOffset>
            </wp:positionH>
            <wp:positionV relativeFrom="paragraph">
              <wp:posOffset>208915</wp:posOffset>
            </wp:positionV>
            <wp:extent cx="596265" cy="461010"/>
            <wp:effectExtent l="0" t="0" r="0" b="0"/>
            <wp:wrapNone/>
            <wp:docPr id="759752977" name="Obrázek 20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6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" cy="461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2022F">
        <w:rPr>
          <w:b/>
          <w:bCs/>
          <w:noProof/>
          <w:lang w:val="cs-CZ"/>
        </w:rPr>
        <w:drawing>
          <wp:anchor distT="0" distB="0" distL="114300" distR="114300" simplePos="0" relativeHeight="251662336" behindDoc="0" locked="0" layoutInCell="1" allowOverlap="1" wp14:anchorId="516C2E59" wp14:editId="3E3AFB73">
            <wp:simplePos x="0" y="0"/>
            <wp:positionH relativeFrom="column">
              <wp:posOffset>4680585</wp:posOffset>
            </wp:positionH>
            <wp:positionV relativeFrom="paragraph">
              <wp:posOffset>230505</wp:posOffset>
            </wp:positionV>
            <wp:extent cx="437515" cy="437515"/>
            <wp:effectExtent l="0" t="0" r="635" b="635"/>
            <wp:wrapNone/>
            <wp:docPr id="876935683" name="Obrázek 19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5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437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2022F">
        <w:rPr>
          <w:b/>
          <w:bCs/>
          <w:noProof/>
          <w:lang w:val="cs-CZ"/>
        </w:rPr>
        <w:drawing>
          <wp:anchor distT="0" distB="0" distL="114300" distR="114300" simplePos="0" relativeHeight="251661312" behindDoc="0" locked="0" layoutInCell="1" allowOverlap="1" wp14:anchorId="77CD52ED" wp14:editId="1AF33A5F">
            <wp:simplePos x="0" y="0"/>
            <wp:positionH relativeFrom="column">
              <wp:posOffset>4187190</wp:posOffset>
            </wp:positionH>
            <wp:positionV relativeFrom="paragraph">
              <wp:posOffset>208915</wp:posOffset>
            </wp:positionV>
            <wp:extent cx="461010" cy="461010"/>
            <wp:effectExtent l="0" t="0" r="0" b="0"/>
            <wp:wrapNone/>
            <wp:docPr id="526303125" name="Obrázek 18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" cy="461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2022F">
        <w:rPr>
          <w:b/>
          <w:bCs/>
          <w:noProof/>
          <w:lang w:val="cs-CZ"/>
        </w:rPr>
        <w:drawing>
          <wp:anchor distT="0" distB="0" distL="114300" distR="114300" simplePos="0" relativeHeight="251660288" behindDoc="0" locked="0" layoutInCell="1" allowOverlap="1" wp14:anchorId="00131420" wp14:editId="76F7B948">
            <wp:simplePos x="0" y="0"/>
            <wp:positionH relativeFrom="column">
              <wp:posOffset>3686810</wp:posOffset>
            </wp:positionH>
            <wp:positionV relativeFrom="paragraph">
              <wp:posOffset>208915</wp:posOffset>
            </wp:positionV>
            <wp:extent cx="461010" cy="461010"/>
            <wp:effectExtent l="0" t="0" r="0" b="0"/>
            <wp:wrapNone/>
            <wp:docPr id="1008894929" name="Obrázek 17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" cy="461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2022F">
        <w:rPr>
          <w:b/>
          <w:bCs/>
          <w:noProof/>
          <w:lang w:val="cs-CZ"/>
        </w:rPr>
        <w:drawing>
          <wp:anchor distT="0" distB="0" distL="114300" distR="114300" simplePos="0" relativeHeight="251659264" behindDoc="0" locked="0" layoutInCell="1" allowOverlap="1" wp14:anchorId="188BFF10" wp14:editId="4DC4CC53">
            <wp:simplePos x="0" y="0"/>
            <wp:positionH relativeFrom="column">
              <wp:posOffset>3193415</wp:posOffset>
            </wp:positionH>
            <wp:positionV relativeFrom="paragraph">
              <wp:posOffset>208915</wp:posOffset>
            </wp:positionV>
            <wp:extent cx="461010" cy="461010"/>
            <wp:effectExtent l="0" t="0" r="0" b="0"/>
            <wp:wrapNone/>
            <wp:docPr id="1009042818" name="Obrázek 16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" cy="461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2022F">
        <w:rPr>
          <w:b/>
          <w:bCs/>
          <w:lang w:val="cs-CZ"/>
        </w:rPr>
        <w:br/>
        <w:t xml:space="preserve">    </w:t>
      </w:r>
    </w:p>
    <w:p w14:paraId="5CF1FE9B" w14:textId="77777777" w:rsidR="00B775CC" w:rsidRDefault="00B775CC" w:rsidP="00B775CC">
      <w:pPr>
        <w:spacing w:line="276" w:lineRule="auto"/>
        <w:rPr>
          <w:b/>
          <w:bCs/>
        </w:rPr>
      </w:pPr>
    </w:p>
    <w:p w14:paraId="00000032" w14:textId="51D727C3" w:rsidR="00812681" w:rsidRDefault="00812681">
      <w:pPr>
        <w:jc w:val="right"/>
        <w:rPr>
          <w:rFonts w:ascii="Aptos" w:eastAsia="Aptos" w:hAnsi="Aptos" w:cs="Aptos"/>
          <w:sz w:val="24"/>
          <w:szCs w:val="24"/>
        </w:rPr>
      </w:pPr>
    </w:p>
    <w:p w14:paraId="00000033" w14:textId="77777777" w:rsidR="00812681" w:rsidRDefault="00812681">
      <w:pPr>
        <w:spacing w:after="0"/>
      </w:pPr>
    </w:p>
    <w:sectPr w:rsidR="00812681">
      <w:headerReference w:type="default" r:id="rId18"/>
      <w:footerReference w:type="default" r:id="rId19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F6D9EF" w14:textId="77777777" w:rsidR="009002FC" w:rsidRDefault="009002FC">
      <w:pPr>
        <w:spacing w:after="0" w:line="240" w:lineRule="auto"/>
      </w:pPr>
      <w:r>
        <w:separator/>
      </w:r>
    </w:p>
  </w:endnote>
  <w:endnote w:type="continuationSeparator" w:id="0">
    <w:p w14:paraId="7F79306D" w14:textId="77777777" w:rsidR="009002FC" w:rsidRDefault="009002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B126B819-73F3-4AD3-92F8-661B73B6102C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2" w:fontKey="{68C28213-230E-4714-BBFC-1F157053A3A9}"/>
    <w:embedBold r:id="rId3" w:fontKey="{CD3992C7-F679-4FD7-87BF-2E1601C8D8A5}"/>
    <w:embedItalic r:id="rId4" w:fontKey="{F6FDB507-3AAF-4505-9822-BC4CD55F6BA5}"/>
    <w:embedBoldItalic r:id="rId5" w:fontKey="{23BC2453-771D-404E-8B31-4673C8325C86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6" w:fontKey="{D9307141-4A14-46FC-B14E-A6DDD6DE07FB}"/>
    <w:embedItalic r:id="rId7" w:fontKey="{BF230FE3-6911-438B-AAB8-4D75ACBFFC9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8" w:fontKey="{1DE47D06-E5CA-4568-8501-1F598E22064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9" w:fontKey="{37E4E236-C3CF-487F-A45E-97FEF213EB6C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0" w:fontKey="{C0667857-0CFB-4871-ABE1-7231B6C2A1B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36" w14:textId="77777777" w:rsidR="00812681" w:rsidRDefault="00812681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jc w:val="left"/>
      <w:rPr>
        <w:color w:val="000000"/>
      </w:rPr>
    </w:pPr>
  </w:p>
  <w:tbl>
    <w:tblPr>
      <w:tblStyle w:val="a"/>
      <w:tblW w:w="9060" w:type="dxa"/>
      <w:tblInd w:w="0" w:type="dxa"/>
      <w:tblLayout w:type="fixed"/>
      <w:tblLook w:val="0600" w:firstRow="0" w:lastRow="0" w:firstColumn="0" w:lastColumn="0" w:noHBand="1" w:noVBand="1"/>
    </w:tblPr>
    <w:tblGrid>
      <w:gridCol w:w="3020"/>
      <w:gridCol w:w="3020"/>
      <w:gridCol w:w="3020"/>
    </w:tblGrid>
    <w:tr w:rsidR="00812681" w14:paraId="6A2CA209" w14:textId="77777777">
      <w:trPr>
        <w:trHeight w:val="300"/>
      </w:trPr>
      <w:tc>
        <w:tcPr>
          <w:tcW w:w="3020" w:type="dxa"/>
        </w:tcPr>
        <w:p w14:paraId="00000037" w14:textId="77777777" w:rsidR="00812681" w:rsidRDefault="0081268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color w:val="000000"/>
            </w:rPr>
          </w:pPr>
        </w:p>
      </w:tc>
      <w:tc>
        <w:tcPr>
          <w:tcW w:w="3020" w:type="dxa"/>
        </w:tcPr>
        <w:p w14:paraId="00000038" w14:textId="77777777" w:rsidR="00812681" w:rsidRDefault="0081268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color w:val="000000"/>
            </w:rPr>
          </w:pPr>
        </w:p>
      </w:tc>
      <w:tc>
        <w:tcPr>
          <w:tcW w:w="3020" w:type="dxa"/>
        </w:tcPr>
        <w:p w14:paraId="00000039" w14:textId="77777777" w:rsidR="00812681" w:rsidRDefault="0081268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color w:val="000000"/>
            </w:rPr>
          </w:pPr>
        </w:p>
      </w:tc>
    </w:tr>
  </w:tbl>
  <w:p w14:paraId="0000003A" w14:textId="77777777" w:rsidR="00812681" w:rsidRDefault="0081268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E30132" w14:textId="77777777" w:rsidR="009002FC" w:rsidRDefault="009002FC">
      <w:pPr>
        <w:spacing w:after="0" w:line="240" w:lineRule="auto"/>
      </w:pPr>
      <w:r>
        <w:separator/>
      </w:r>
    </w:p>
  </w:footnote>
  <w:footnote w:type="continuationSeparator" w:id="0">
    <w:p w14:paraId="635296E8" w14:textId="77777777" w:rsidR="009002FC" w:rsidRDefault="009002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34" w14:textId="77777777" w:rsidR="00812681" w:rsidRDefault="002916E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  <w:sz w:val="30"/>
        <w:szCs w:val="3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7F65B10F" wp14:editId="7B467CD7">
          <wp:simplePos x="0" y="0"/>
          <wp:positionH relativeFrom="column">
            <wp:posOffset>4310380</wp:posOffset>
          </wp:positionH>
          <wp:positionV relativeFrom="paragraph">
            <wp:posOffset>-325752</wp:posOffset>
          </wp:positionV>
          <wp:extent cx="1895475" cy="768985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95475" cy="7689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0000035" w14:textId="77777777" w:rsidR="00812681" w:rsidRDefault="0081268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6567C5"/>
    <w:multiLevelType w:val="multilevel"/>
    <w:tmpl w:val="59D4A38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64B42A1B"/>
    <w:multiLevelType w:val="multilevel"/>
    <w:tmpl w:val="2396ADC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519660587">
    <w:abstractNumId w:val="1"/>
  </w:num>
  <w:num w:numId="2" w16cid:durableId="19803049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TrueTypeFonts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681"/>
    <w:rsid w:val="001314C5"/>
    <w:rsid w:val="0026133D"/>
    <w:rsid w:val="002916E5"/>
    <w:rsid w:val="00503D47"/>
    <w:rsid w:val="00503D92"/>
    <w:rsid w:val="0051583F"/>
    <w:rsid w:val="00517CDB"/>
    <w:rsid w:val="007E7882"/>
    <w:rsid w:val="00812681"/>
    <w:rsid w:val="009002FC"/>
    <w:rsid w:val="0090495A"/>
    <w:rsid w:val="009105BD"/>
    <w:rsid w:val="00B526F9"/>
    <w:rsid w:val="00B775CC"/>
    <w:rsid w:val="00BB4261"/>
    <w:rsid w:val="00BF5ADC"/>
    <w:rsid w:val="00E32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020CC"/>
  <w15:docId w15:val="{6C120F5A-B460-4348-AECE-05FEA8FE9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pen Sans" w:eastAsia="Open Sans" w:hAnsi="Open Sans" w:cs="Open Sans"/>
        <w:sz w:val="22"/>
        <w:szCs w:val="22"/>
        <w:lang w:val="cs" w:eastAsia="cs-CZ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outlineLvl w:val="0"/>
    </w:pPr>
    <w:rPr>
      <w:b/>
      <w:bCs/>
      <w:sz w:val="32"/>
      <w:szCs w:val="32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40" w:after="0"/>
      <w:outlineLvl w:val="1"/>
    </w:pPr>
    <w:rPr>
      <w:rFonts w:ascii="Calibri" w:eastAsia="Calibri" w:hAnsi="Calibri" w:cs="Calibri"/>
      <w:color w:val="2F5496"/>
      <w:sz w:val="26"/>
      <w:szCs w:val="2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40" w:after="0"/>
      <w:outlineLvl w:val="2"/>
    </w:pPr>
    <w:rPr>
      <w:rFonts w:ascii="Calibri" w:eastAsia="Calibri" w:hAnsi="Calibri" w:cs="Calibri"/>
      <w:color w:val="1F3863"/>
      <w:sz w:val="24"/>
      <w:szCs w:val="24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40" w:after="0"/>
      <w:outlineLvl w:val="3"/>
    </w:pPr>
    <w:rPr>
      <w:rFonts w:ascii="Calibri" w:eastAsia="Calibri" w:hAnsi="Calibri" w:cs="Calibri"/>
      <w:i/>
      <w:iCs/>
      <w:color w:val="2F5496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Textkomente">
    <w:name w:val="annotation text"/>
    <w:basedOn w:val="Normln"/>
    <w:link w:val="Textkomente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Pr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03D4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03D47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503D47"/>
    <w:pPr>
      <w:spacing w:after="0"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channel/UCGwO0jxau7AaMq0gKUcCh7A" TargetMode="External"/><Relationship Id="rId13" Type="http://schemas.openxmlformats.org/officeDocument/2006/relationships/image" Target="media/image3.pn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mailto:bara.wendlova@crestcom.cz" TargetMode="External"/><Relationship Id="rId12" Type="http://schemas.openxmlformats.org/officeDocument/2006/relationships/hyperlink" Target="https://www.linkedin.com/company/fingo-cz/" TargetMode="External"/><Relationship Id="rId17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hyperlink" Target="https://www.facebook.com/fingo.cz/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image" Target="media/image4.png"/><Relationship Id="rId10" Type="http://schemas.openxmlformats.org/officeDocument/2006/relationships/hyperlink" Target="https://x.com/fingocz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yperlink" Target="https://www.instagram.com/fingo.cz/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919</Words>
  <Characters>5423</Characters>
  <Application>Microsoft Office Word</Application>
  <DocSecurity>0</DocSecurity>
  <Lines>45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Dagmar Koutská</dc:creator>
  <cp:lastModifiedBy>Bára Wendlová | CrestCommunications a.s.</cp:lastModifiedBy>
  <cp:revision>5</cp:revision>
  <dcterms:created xsi:type="dcterms:W3CDTF">2026-10-13T11:09:00Z</dcterms:created>
  <dcterms:modified xsi:type="dcterms:W3CDTF">2026-10-14T08:08:00Z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0x010100EE21AEF63623FE4F9A58CC6BACDC5B81</vt:lpwstr>
  </property>
  <property fmtid="{D5CDD505-2E9C-101B-9397-08002B2CF9AE}" pid="3" name="MediaServiceImageTags">
    <vt:lpwstr>MediaServiceImageTags</vt:lpwstr>
  </property>
</Properties>
</file>